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DCA3B" w14:textId="77777777" w:rsidR="00086CFE" w:rsidRDefault="00086CFE" w:rsidP="0016774B">
      <w:pPr>
        <w:jc w:val="both"/>
        <w:rPr>
          <w:sz w:val="16"/>
          <w:szCs w:val="16"/>
        </w:rPr>
      </w:pPr>
      <w:r>
        <w:rPr>
          <w:noProof/>
          <w:lang w:eastAsia="it-IT"/>
        </w:rPr>
        <w:drawing>
          <wp:inline distT="0" distB="0" distL="0" distR="0" wp14:anchorId="7E31A012" wp14:editId="50D6D9C9">
            <wp:extent cx="6210300" cy="1101654"/>
            <wp:effectExtent l="0" t="0" r="0" b="381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08643645" w14:textId="77777777" w:rsidR="00086CFE" w:rsidRPr="00DA7448" w:rsidRDefault="00086CFE" w:rsidP="0016774B">
      <w:pPr>
        <w:pStyle w:val="Default"/>
        <w:jc w:val="both"/>
        <w:rPr>
          <w:rFonts w:ascii="English111 Adagio BT" w:hAnsi="English111 Adagio BT" w:cs="English111 Adagio BT"/>
        </w:rPr>
      </w:pPr>
      <w:r>
        <w:rPr>
          <w:sz w:val="16"/>
          <w:szCs w:val="16"/>
        </w:rPr>
        <w:t xml:space="preserve">                                                                                                                                </w:t>
      </w:r>
    </w:p>
    <w:p w14:paraId="0982539E" w14:textId="77777777" w:rsidR="00DB7C96" w:rsidRPr="00DB7C96" w:rsidRDefault="00DB7C96" w:rsidP="00DB7C96">
      <w:pPr>
        <w:widowControl w:val="0"/>
        <w:tabs>
          <w:tab w:val="left" w:pos="1733"/>
        </w:tabs>
        <w:autoSpaceDE w:val="0"/>
        <w:autoSpaceDN w:val="0"/>
        <w:spacing w:after="0" w:line="240" w:lineRule="auto"/>
        <w:ind w:right="284"/>
        <w:jc w:val="center"/>
        <w:rPr>
          <w:rFonts w:ascii="Calibri" w:eastAsia="Calibri" w:hAnsi="Calibri" w:cs="Calibri"/>
          <w:b/>
          <w:kern w:val="0"/>
          <w14:ligatures w14:val="none"/>
        </w:rPr>
      </w:pPr>
      <w:r w:rsidRPr="00DB7C96">
        <w:rPr>
          <w:rFonts w:ascii="Calibri" w:eastAsia="Calibri" w:hAnsi="Calibri" w:cs="Calibri"/>
          <w:b/>
          <w:noProof/>
          <w:kern w:val="0"/>
          <w:lang w:eastAsia="it-IT"/>
          <w14:ligatures w14:val="none"/>
        </w:rPr>
        <w:drawing>
          <wp:inline distT="0" distB="0" distL="0" distR="0" wp14:anchorId="3C7C5839" wp14:editId="09515FD9">
            <wp:extent cx="2491740" cy="822665"/>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8775" cy="861305"/>
                    </a:xfrm>
                    <a:prstGeom prst="rect">
                      <a:avLst/>
                    </a:prstGeom>
                    <a:noFill/>
                  </pic:spPr>
                </pic:pic>
              </a:graphicData>
            </a:graphic>
          </wp:inline>
        </w:drawing>
      </w:r>
    </w:p>
    <w:p w14:paraId="67CE9283" w14:textId="77777777" w:rsidR="00DB7C96" w:rsidRPr="00DB7C96" w:rsidRDefault="00DB7C96" w:rsidP="00DB7C96">
      <w:pPr>
        <w:widowControl w:val="0"/>
        <w:tabs>
          <w:tab w:val="left" w:pos="1733"/>
        </w:tabs>
        <w:spacing w:after="0" w:line="240" w:lineRule="auto"/>
        <w:ind w:right="284"/>
        <w:jc w:val="center"/>
        <w:rPr>
          <w:color w:val="323E4F" w:themeColor="text2" w:themeShade="BF"/>
          <w:kern w:val="0"/>
          <w:sz w:val="24"/>
          <w:szCs w:val="24"/>
          <w14:ligatures w14:val="none"/>
        </w:rPr>
      </w:pPr>
      <w:r w:rsidRPr="00DB7C96">
        <w:rPr>
          <w:b/>
          <w:i/>
          <w:color w:val="323E4F" w:themeColor="text2" w:themeShade="BF"/>
          <w:kern w:val="0"/>
          <w:sz w:val="24"/>
          <w:szCs w:val="24"/>
          <w14:ligatures w14:val="none"/>
        </w:rPr>
        <w:t xml:space="preserve">Istituto Comprensivo Statale “Mons. Luigi Vitali” Bellano </w:t>
      </w:r>
    </w:p>
    <w:p w14:paraId="7AD79BAE" w14:textId="77777777" w:rsidR="00DB7C96" w:rsidRPr="00DB7C96" w:rsidRDefault="00DB7C96" w:rsidP="00DB7C96">
      <w:pPr>
        <w:spacing w:after="0" w:line="240" w:lineRule="auto"/>
        <w:ind w:left="-142"/>
        <w:jc w:val="center"/>
        <w:rPr>
          <w:b/>
          <w:i/>
          <w:kern w:val="0"/>
          <w:sz w:val="18"/>
          <w:szCs w:val="18"/>
          <w14:ligatures w14:val="none"/>
        </w:rPr>
      </w:pPr>
      <w:r w:rsidRPr="00DB7C96">
        <w:rPr>
          <w:b/>
          <w:i/>
          <w:kern w:val="0"/>
          <w:sz w:val="18"/>
          <w:szCs w:val="18"/>
          <w14:ligatures w14:val="none"/>
        </w:rPr>
        <w:t>Via XX Settembre, 4 – 23822 Bellano - Tel. 0341 821 420</w:t>
      </w:r>
      <w:r w:rsidRPr="00DB7C96">
        <w:rPr>
          <w:b/>
          <w:i/>
          <w:kern w:val="0"/>
          <w:sz w:val="18"/>
          <w:szCs w:val="18"/>
          <w14:ligatures w14:val="none"/>
        </w:rPr>
        <w:br/>
        <w:t xml:space="preserve"> - E-mail segreteria: </w:t>
      </w:r>
      <w:r w:rsidRPr="00DB7C96">
        <w:rPr>
          <w:b/>
          <w:i/>
          <w:color w:val="0000FF"/>
          <w:kern w:val="0"/>
          <w:sz w:val="18"/>
          <w:szCs w:val="18"/>
          <w:u w:val="single"/>
          <w14:ligatures w14:val="none"/>
        </w:rPr>
        <w:t>LCIC80500C@istruzione.it</w:t>
      </w:r>
      <w:r w:rsidRPr="00DB7C96">
        <w:rPr>
          <w:b/>
          <w:i/>
          <w:kern w:val="0"/>
          <w:sz w:val="18"/>
          <w:szCs w:val="18"/>
          <w14:ligatures w14:val="none"/>
        </w:rPr>
        <w:t xml:space="preserve"> </w:t>
      </w:r>
      <w:r w:rsidRPr="00DB7C96">
        <w:rPr>
          <w:b/>
          <w:i/>
          <w:kern w:val="0"/>
          <w:sz w:val="18"/>
          <w:szCs w:val="18"/>
          <w14:ligatures w14:val="none"/>
        </w:rPr>
        <w:br/>
        <w:t xml:space="preserve">Posta elettronica certificata: </w:t>
      </w:r>
      <w:r w:rsidRPr="00DB7C96">
        <w:rPr>
          <w:b/>
          <w:i/>
          <w:color w:val="0000FF"/>
          <w:kern w:val="0"/>
          <w:sz w:val="18"/>
          <w:szCs w:val="18"/>
          <w:u w:val="single"/>
          <w14:ligatures w14:val="none"/>
        </w:rPr>
        <w:t>LCIC80500C@pec.istruzione.it</w:t>
      </w:r>
      <w:r w:rsidRPr="00DB7C96">
        <w:rPr>
          <w:b/>
          <w:i/>
          <w:kern w:val="0"/>
          <w:sz w:val="18"/>
          <w:szCs w:val="18"/>
          <w14:ligatures w14:val="none"/>
        </w:rPr>
        <w:t xml:space="preserve"> </w:t>
      </w:r>
      <w:r w:rsidRPr="00DB7C96">
        <w:rPr>
          <w:b/>
          <w:i/>
          <w:kern w:val="0"/>
          <w:sz w:val="18"/>
          <w:szCs w:val="18"/>
          <w14:ligatures w14:val="none"/>
        </w:rPr>
        <w:br/>
        <w:t xml:space="preserve">Sito </w:t>
      </w:r>
      <w:r w:rsidRPr="00DB7C96">
        <w:rPr>
          <w:b/>
          <w:i/>
          <w:color w:val="0000FF"/>
          <w:kern w:val="0"/>
          <w:sz w:val="18"/>
          <w:szCs w:val="18"/>
          <w:u w:val="single"/>
          <w14:ligatures w14:val="none"/>
        </w:rPr>
        <w:t>www.icsbellano.edu.it</w:t>
      </w:r>
    </w:p>
    <w:p w14:paraId="6F5FC70C" w14:textId="7ED3D488" w:rsidR="00086CFE" w:rsidRDefault="00086CFE" w:rsidP="00DB7C96">
      <w:pPr>
        <w:spacing w:before="360" w:after="240"/>
        <w:jc w:val="center"/>
        <w:rPr>
          <w:b/>
          <w:bCs/>
          <w:sz w:val="28"/>
          <w:szCs w:val="28"/>
        </w:rPr>
      </w:pPr>
      <w:r w:rsidRPr="00DB7C96">
        <w:rPr>
          <w:b/>
          <w:bCs/>
          <w:sz w:val="28"/>
          <w:szCs w:val="28"/>
        </w:rPr>
        <w:t>CAPITOLATO</w:t>
      </w:r>
      <w:r w:rsidR="00DB7C96" w:rsidRPr="00DB7C96">
        <w:rPr>
          <w:b/>
          <w:bCs/>
          <w:sz w:val="28"/>
          <w:szCs w:val="28"/>
        </w:rPr>
        <w:t xml:space="preserve"> TECNICO</w:t>
      </w:r>
      <w:r w:rsidR="00DB7C96">
        <w:rPr>
          <w:b/>
          <w:bCs/>
          <w:sz w:val="28"/>
          <w:szCs w:val="28"/>
        </w:rPr>
        <w:t xml:space="preserve"> </w:t>
      </w:r>
      <w:r w:rsidRPr="00DB7C96">
        <w:rPr>
          <w:b/>
          <w:bCs/>
          <w:sz w:val="28"/>
          <w:szCs w:val="28"/>
        </w:rPr>
        <w:t xml:space="preserve">LOTTO </w:t>
      </w:r>
      <w:r w:rsidR="004566A0" w:rsidRPr="00DB7C96">
        <w:rPr>
          <w:b/>
          <w:bCs/>
          <w:sz w:val="28"/>
          <w:szCs w:val="28"/>
        </w:rPr>
        <w:t>4</w:t>
      </w:r>
      <w:r w:rsidRPr="00DB7C96">
        <w:rPr>
          <w:b/>
          <w:bCs/>
          <w:sz w:val="28"/>
          <w:szCs w:val="28"/>
        </w:rPr>
        <w:t xml:space="preserve"> – AULA IMMERSIVA</w:t>
      </w:r>
    </w:p>
    <w:p w14:paraId="0F659C3A" w14:textId="77777777" w:rsidR="00DB7C96" w:rsidRDefault="00DB7C96" w:rsidP="00DB7C96">
      <w:pPr>
        <w:spacing w:before="120" w:after="120" w:line="240" w:lineRule="auto"/>
        <w:rPr>
          <w:rFonts w:cstheme="minorHAnsi"/>
          <w:b/>
          <w:bCs/>
        </w:rPr>
      </w:pPr>
      <w:bookmarkStart w:id="0" w:name="_Hlk126947063"/>
      <w:r w:rsidRPr="00C5727E">
        <w:rPr>
          <w:rFonts w:cstheme="minorHAnsi"/>
          <w:b/>
          <w:bCs/>
        </w:rPr>
        <w:t>OGGETTO: Piano Nazionale di Ripresa e Resilienza, Missione 4 – Istruzione e ricerca, Componente 1 – Potenziamento dell’offerta dei servizi di istruzione: dagli asili nido alle università – Investimento 3.2 Scuola 4.0. Scuole innovative, cablaggio, nuovi ambienti di apprendimento e laboratori” – “</w:t>
      </w:r>
      <w:r w:rsidRPr="00C5727E">
        <w:rPr>
          <w:rFonts w:cstheme="minorHAnsi"/>
          <w:b/>
          <w:bCs/>
          <w:i/>
          <w:iCs/>
        </w:rPr>
        <w:t>Azione 1: Next generation Classroom - Ambienti di apprendimento innovativi</w:t>
      </w:r>
      <w:r>
        <w:rPr>
          <w:rFonts w:cstheme="minorHAnsi"/>
          <w:b/>
          <w:bCs/>
        </w:rPr>
        <w:t>”</w:t>
      </w:r>
      <w:r w:rsidRPr="00C5727E">
        <w:rPr>
          <w:rFonts w:cstheme="minorHAnsi"/>
          <w:b/>
          <w:bCs/>
        </w:rPr>
        <w:t>.</w:t>
      </w:r>
    </w:p>
    <w:bookmarkEnd w:id="0"/>
    <w:p w14:paraId="0B387177" w14:textId="7D802114" w:rsidR="00DB7C96" w:rsidRDefault="00DB7C96" w:rsidP="00DB7C96">
      <w:pPr>
        <w:widowControl w:val="0"/>
        <w:tabs>
          <w:tab w:val="left" w:pos="1733"/>
        </w:tabs>
        <w:autoSpaceDE w:val="0"/>
        <w:autoSpaceDN w:val="0"/>
        <w:ind w:right="284"/>
        <w:rPr>
          <w:rFonts w:ascii="Times New Roman" w:eastAsia="Times New Roman" w:hAnsi="Times New Roman" w:cs="Times New Roman"/>
          <w:sz w:val="1"/>
        </w:rPr>
      </w:pPr>
      <w:r>
        <w:rPr>
          <w:rFonts w:cstheme="minorHAnsi"/>
          <w:b/>
          <w:bCs/>
        </w:rPr>
        <w:t>CUI:</w:t>
      </w:r>
      <w:r w:rsidRPr="007E1422">
        <w:t xml:space="preserve"> n. </w:t>
      </w:r>
      <w:r w:rsidRPr="006E628C">
        <w:rPr>
          <w:b/>
        </w:rPr>
        <w:t>F83007920131202300001</w:t>
      </w:r>
      <w:r>
        <w:rPr>
          <w:rFonts w:cstheme="minorHAnsi"/>
          <w:b/>
          <w:bCs/>
        </w:rPr>
        <w:br/>
      </w:r>
      <w:r w:rsidRPr="006D1407">
        <w:rPr>
          <w:b/>
          <w:bCs/>
          <w:i/>
          <w:iCs/>
          <w:szCs w:val="24"/>
        </w:rPr>
        <w:t>CNP: M4C1I3.2.2022-961-P20437</w:t>
      </w:r>
      <w:r>
        <w:rPr>
          <w:rFonts w:cstheme="minorHAnsi"/>
          <w:b/>
          <w:bCs/>
        </w:rPr>
        <w:br/>
      </w:r>
      <w:r w:rsidRPr="006D1407">
        <w:rPr>
          <w:b/>
          <w:bCs/>
          <w:i/>
          <w:iCs/>
          <w:szCs w:val="24"/>
        </w:rPr>
        <w:t>CUP: J34D22004830006</w:t>
      </w:r>
      <w:r>
        <w:rPr>
          <w:rFonts w:cstheme="minorHAnsi"/>
          <w:b/>
          <w:bCs/>
        </w:rPr>
        <w:br/>
      </w:r>
      <w:r w:rsidRPr="006D1407">
        <w:rPr>
          <w:b/>
          <w:bCs/>
          <w:i/>
          <w:iCs/>
          <w:szCs w:val="24"/>
        </w:rPr>
        <w:t xml:space="preserve">CIG: </w:t>
      </w:r>
      <w:r w:rsidR="00C5015F">
        <w:rPr>
          <w:rFonts w:cstheme="minorHAnsi"/>
          <w:b/>
          <w:szCs w:val="24"/>
        </w:rPr>
        <w:t>9931000873</w:t>
      </w:r>
      <w:r>
        <w:rPr>
          <w:rFonts w:ascii="Times New Roman" w:eastAsia="Times New Roman" w:hAnsi="Times New Roman" w:cs="Times New Roman"/>
          <w:sz w:val="1"/>
        </w:rPr>
        <w:tab/>
      </w:r>
    </w:p>
    <w:p w14:paraId="62529FDA" w14:textId="77777777" w:rsidR="00C5015F" w:rsidRDefault="00C5015F" w:rsidP="00DB7C96">
      <w:pPr>
        <w:widowControl w:val="0"/>
        <w:tabs>
          <w:tab w:val="left" w:pos="1733"/>
        </w:tabs>
        <w:autoSpaceDE w:val="0"/>
        <w:autoSpaceDN w:val="0"/>
        <w:ind w:right="284"/>
        <w:rPr>
          <w:rFonts w:ascii="Times New Roman" w:eastAsia="Times New Roman" w:hAnsi="Times New Roman" w:cs="Times New Roman"/>
          <w:sz w:val="1"/>
        </w:rPr>
      </w:pPr>
    </w:p>
    <w:p w14:paraId="1462BBB9" w14:textId="77777777" w:rsidR="00C5015F" w:rsidRPr="00EC6A0D" w:rsidRDefault="00C5015F" w:rsidP="00C5015F">
      <w:pPr>
        <w:spacing w:before="120" w:after="60"/>
        <w:rPr>
          <w:b/>
          <w:bCs/>
          <w:sz w:val="24"/>
          <w:szCs w:val="24"/>
        </w:rPr>
      </w:pPr>
      <w:r>
        <w:rPr>
          <w:b/>
          <w:sz w:val="24"/>
          <w:szCs w:val="24"/>
        </w:rPr>
        <w:t xml:space="preserve">Descrizione generale del contesto </w:t>
      </w:r>
    </w:p>
    <w:p w14:paraId="2AC86041" w14:textId="77777777" w:rsidR="00C5015F" w:rsidRDefault="00C5015F" w:rsidP="00C5015F">
      <w:pPr>
        <w:rPr>
          <w:b/>
          <w:bCs/>
          <w:sz w:val="24"/>
          <w:szCs w:val="24"/>
        </w:rPr>
      </w:pPr>
      <w:r>
        <w:t>Nell’ambito del miglioramento dell’offerta formativa legata al Piano Nazionale di Ripresa e Resilienza, onde favorire e incrementare la transizione digitale nelle scuole, la scrivente istituzione scolastica intende affidare mediante Affidamento Diretto con Trattativa Diretta con unico operatore su sistema M.E.P.A, la fornitura di monitor interattivi, dispositivi digitali e arredi tecnici. Il progetto è finalizzato alla dotazione di attrezzature per la trasformazione digitale della didattica e dell’organizzazione delle istituzioni scolastiche.</w:t>
      </w:r>
      <w:r>
        <w:rPr>
          <w:b/>
          <w:bCs/>
          <w:sz w:val="24"/>
          <w:szCs w:val="24"/>
        </w:rPr>
        <w:tab/>
      </w:r>
    </w:p>
    <w:p w14:paraId="6421725B" w14:textId="77777777" w:rsidR="00C5015F" w:rsidRPr="00EC6A0D" w:rsidRDefault="00C5015F" w:rsidP="00C5015F">
      <w:pPr>
        <w:pStyle w:val="Paragrafoelenco"/>
        <w:numPr>
          <w:ilvl w:val="0"/>
          <w:numId w:val="5"/>
        </w:numPr>
        <w:tabs>
          <w:tab w:val="left" w:pos="851"/>
        </w:tabs>
        <w:spacing w:after="0" w:line="240" w:lineRule="auto"/>
        <w:ind w:left="851" w:hanging="567"/>
        <w:rPr>
          <w:b/>
          <w:sz w:val="24"/>
          <w:szCs w:val="24"/>
        </w:rPr>
      </w:pPr>
      <w:r w:rsidRPr="00EC6A0D">
        <w:rPr>
          <w:b/>
          <w:sz w:val="24"/>
          <w:szCs w:val="24"/>
        </w:rPr>
        <w:t xml:space="preserve">Premessa </w:t>
      </w:r>
    </w:p>
    <w:p w14:paraId="722CF79B" w14:textId="77777777" w:rsidR="00C5015F" w:rsidRPr="00E00318" w:rsidRDefault="00C5015F" w:rsidP="00C5015F">
      <w:pPr>
        <w:spacing w:after="60" w:line="240" w:lineRule="atLeast"/>
        <w:jc w:val="both"/>
        <w:rPr>
          <w:rFonts w:eastAsia="Times New Roman" w:cstheme="minorHAnsi"/>
          <w:kern w:val="0"/>
          <w:lang w:eastAsia="it-IT"/>
          <w14:ligatures w14:val="none"/>
        </w:rPr>
      </w:pPr>
      <w:r w:rsidRPr="00E00318">
        <w:rPr>
          <w:rFonts w:eastAsia="Times New Roman" w:cstheme="minorHAnsi"/>
          <w:kern w:val="0"/>
          <w:lang w:eastAsia="it-IT"/>
          <w14:ligatures w14:val="none"/>
        </w:rPr>
        <w:t>La fornitura del materiale dovrà essere rispondente alle specifiche tecniche del presente Capitolato.</w:t>
      </w:r>
    </w:p>
    <w:p w14:paraId="4223DA63" w14:textId="77777777" w:rsidR="00C5015F" w:rsidRPr="00E00318" w:rsidRDefault="00C5015F" w:rsidP="00C5015F">
      <w:pPr>
        <w:spacing w:after="60" w:line="240" w:lineRule="atLeast"/>
        <w:jc w:val="both"/>
        <w:rPr>
          <w:rFonts w:eastAsia="Times New Roman" w:cstheme="minorHAnsi"/>
          <w:kern w:val="0"/>
          <w:lang w:eastAsia="it-IT"/>
          <w14:ligatures w14:val="none"/>
        </w:rPr>
      </w:pPr>
      <w:r w:rsidRPr="00E00318">
        <w:rPr>
          <w:rFonts w:eastAsia="Times New Roman" w:cstheme="minorHAnsi"/>
          <w:kern w:val="0"/>
          <w:lang w:eastAsia="it-IT"/>
          <w14:ligatures w14:val="none"/>
        </w:rPr>
        <w:t xml:space="preserve">Tutti i prodotti, oggetto della presente fornitura, dovranno appartenere alla più recente generazione rilasciata dal produttore e saranno costituiti esclusivamente da elementi nuovi di fabbrica conformi alle norme vigenti. </w:t>
      </w:r>
    </w:p>
    <w:p w14:paraId="747DE326" w14:textId="77777777" w:rsidR="00C5015F" w:rsidRPr="00E00318" w:rsidRDefault="00C5015F" w:rsidP="00C5015F">
      <w:pPr>
        <w:spacing w:after="60" w:line="240" w:lineRule="atLeast"/>
        <w:jc w:val="both"/>
        <w:rPr>
          <w:rFonts w:eastAsia="Times New Roman" w:cstheme="minorHAnsi"/>
          <w:kern w:val="0"/>
          <w:lang w:eastAsia="it-IT"/>
          <w14:ligatures w14:val="none"/>
        </w:rPr>
      </w:pPr>
      <w:r w:rsidRPr="00E00318">
        <w:rPr>
          <w:rFonts w:eastAsia="Times New Roman" w:cstheme="minorHAnsi"/>
          <w:kern w:val="0"/>
          <w:lang w:eastAsia="it-IT"/>
          <w14:ligatures w14:val="none"/>
        </w:rPr>
        <w:t xml:space="preserve">Tutti i prodotti, inoltre, dovranno essere corredati della documentazione che comprovi il rispetto del principio DNSH (Do no </w:t>
      </w:r>
      <w:proofErr w:type="spellStart"/>
      <w:r w:rsidRPr="00E00318">
        <w:rPr>
          <w:rFonts w:eastAsia="Times New Roman" w:cstheme="minorHAnsi"/>
          <w:kern w:val="0"/>
          <w:lang w:eastAsia="it-IT"/>
          <w14:ligatures w14:val="none"/>
        </w:rPr>
        <w:t>significant</w:t>
      </w:r>
      <w:proofErr w:type="spellEnd"/>
      <w:r w:rsidRPr="00E00318">
        <w:rPr>
          <w:rFonts w:eastAsia="Times New Roman" w:cstheme="minorHAnsi"/>
          <w:kern w:val="0"/>
          <w:lang w:eastAsia="it-IT"/>
          <w14:ligatures w14:val="none"/>
        </w:rPr>
        <w:t xml:space="preserve"> </w:t>
      </w:r>
      <w:proofErr w:type="spellStart"/>
      <w:r w:rsidRPr="00E00318">
        <w:rPr>
          <w:rFonts w:eastAsia="Times New Roman" w:cstheme="minorHAnsi"/>
          <w:kern w:val="0"/>
          <w:lang w:eastAsia="it-IT"/>
          <w14:ligatures w14:val="none"/>
        </w:rPr>
        <w:t>harm</w:t>
      </w:r>
      <w:proofErr w:type="spellEnd"/>
      <w:r w:rsidRPr="00E00318">
        <w:rPr>
          <w:rFonts w:eastAsia="Times New Roman" w:cstheme="minorHAnsi"/>
          <w:kern w:val="0"/>
          <w:lang w:eastAsia="it-IT"/>
          <w14:ligatures w14:val="none"/>
        </w:rPr>
        <w:t>), secondo le indicazioni in relazione a quanto previsto dall’allegato alla Circolare MEF-RGS n. 30 dell’11 agosto 2022 - “Linee Guida per lo svolgimento delle attività di controllo e rendicontazione delle Misure PNRR di competenza delle Amministrazioni centrali e dei Soggetti attuatori”</w:t>
      </w:r>
    </w:p>
    <w:p w14:paraId="1C802B2F" w14:textId="77777777" w:rsidR="00C5015F" w:rsidRPr="00E00318" w:rsidRDefault="00C5015F" w:rsidP="00C5015F">
      <w:pPr>
        <w:spacing w:after="60" w:line="240" w:lineRule="atLeast"/>
        <w:jc w:val="both"/>
        <w:rPr>
          <w:rFonts w:eastAsia="Times New Roman" w:cstheme="minorHAnsi"/>
          <w:kern w:val="0"/>
          <w:lang w:eastAsia="it-IT"/>
          <w14:ligatures w14:val="none"/>
        </w:rPr>
      </w:pPr>
      <w:r w:rsidRPr="00E00318">
        <w:rPr>
          <w:rFonts w:eastAsia="Times New Roman" w:cstheme="minorHAnsi"/>
          <w:kern w:val="0"/>
          <w:lang w:eastAsia="it-IT"/>
          <w14:ligatures w14:val="none"/>
        </w:rPr>
        <w:t>La garanzia sulle nuove attrezzature deve essere almeno di due anni (24 mesi) e il rapporto di garanzia dell’appaltante è esclusivamente con l’aggiudicatario.</w:t>
      </w:r>
    </w:p>
    <w:p w14:paraId="7C055FA5" w14:textId="77777777" w:rsidR="00C5015F" w:rsidRPr="00E00318" w:rsidRDefault="00C5015F" w:rsidP="00C5015F">
      <w:pPr>
        <w:spacing w:after="60" w:line="240" w:lineRule="atLeast"/>
        <w:jc w:val="both"/>
        <w:rPr>
          <w:rFonts w:eastAsia="Times New Roman" w:cstheme="minorHAnsi"/>
          <w:kern w:val="0"/>
          <w:lang w:eastAsia="it-IT"/>
          <w14:ligatures w14:val="none"/>
        </w:rPr>
      </w:pPr>
      <w:r w:rsidRPr="00E00318">
        <w:rPr>
          <w:rFonts w:eastAsia="Times New Roman" w:cstheme="minorHAnsi"/>
          <w:kern w:val="0"/>
          <w:lang w:eastAsia="it-IT"/>
          <w14:ligatures w14:val="none"/>
        </w:rPr>
        <w:t>Il trasporto della merce ed il montaggio è a totale carico dell’aggiudicatario.</w:t>
      </w:r>
    </w:p>
    <w:p w14:paraId="75333845" w14:textId="77777777" w:rsidR="00C5015F" w:rsidRDefault="00C5015F" w:rsidP="00C5015F">
      <w:pPr>
        <w:spacing w:after="60" w:line="240" w:lineRule="atLeast"/>
        <w:jc w:val="both"/>
      </w:pPr>
      <w:r>
        <w:t>La consegna, da effettuarsi presso le sedi sotto elencate avverrà previo appuntamento da concordarsi in anticipo:</w:t>
      </w:r>
    </w:p>
    <w:p w14:paraId="16CB6808" w14:textId="4488E241" w:rsidR="00C5015F" w:rsidRPr="00C5015F" w:rsidRDefault="00C5015F" w:rsidP="00C5015F">
      <w:pPr>
        <w:pStyle w:val="Paragrafoelenco"/>
        <w:widowControl w:val="0"/>
        <w:numPr>
          <w:ilvl w:val="0"/>
          <w:numId w:val="4"/>
        </w:numPr>
        <w:tabs>
          <w:tab w:val="left" w:pos="1733"/>
        </w:tabs>
        <w:autoSpaceDE w:val="0"/>
        <w:autoSpaceDN w:val="0"/>
        <w:spacing w:after="180" w:line="240" w:lineRule="atLeast"/>
        <w:ind w:right="284"/>
      </w:pPr>
      <w:r w:rsidRPr="00C5015F">
        <w:rPr>
          <w:b/>
          <w:sz w:val="24"/>
          <w:szCs w:val="24"/>
        </w:rPr>
        <w:t>Scuola Primaria di Lierna</w:t>
      </w:r>
      <w:r>
        <w:t>, Via V.E. Parodi -23827</w:t>
      </w:r>
      <w:r w:rsidR="00AD3368">
        <w:t xml:space="preserve"> Lierna </w:t>
      </w:r>
      <w:r>
        <w:t>(LC):</w:t>
      </w:r>
      <w:r>
        <w:br/>
      </w:r>
    </w:p>
    <w:tbl>
      <w:tblPr>
        <w:tblStyle w:val="Grigliatabella"/>
        <w:tblW w:w="0" w:type="auto"/>
        <w:tblLayout w:type="fixed"/>
        <w:tblLook w:val="04A0" w:firstRow="1" w:lastRow="0" w:firstColumn="1" w:lastColumn="0" w:noHBand="0" w:noVBand="1"/>
      </w:tblPr>
      <w:tblGrid>
        <w:gridCol w:w="4211"/>
        <w:gridCol w:w="1171"/>
        <w:gridCol w:w="2021"/>
        <w:gridCol w:w="2225"/>
      </w:tblGrid>
      <w:tr w:rsidR="00DB7C96" w14:paraId="55D96C89" w14:textId="77777777" w:rsidTr="003952B1">
        <w:tc>
          <w:tcPr>
            <w:tcW w:w="9628" w:type="dxa"/>
            <w:gridSpan w:val="4"/>
          </w:tcPr>
          <w:p w14:paraId="08674EB0" w14:textId="77777777" w:rsidR="00DB7C96" w:rsidRDefault="00DB7C96" w:rsidP="00922AD0"/>
          <w:p w14:paraId="6F5E8CDA" w14:textId="77777777" w:rsidR="00DB7C96" w:rsidRPr="00DB7C96" w:rsidRDefault="00DB7C96" w:rsidP="00DB7C96">
            <w:pPr>
              <w:jc w:val="center"/>
              <w:rPr>
                <w:b/>
                <w:sz w:val="24"/>
                <w:szCs w:val="24"/>
              </w:rPr>
            </w:pPr>
            <w:r w:rsidRPr="00DB7C96">
              <w:rPr>
                <w:b/>
                <w:sz w:val="24"/>
                <w:szCs w:val="24"/>
              </w:rPr>
              <w:t>PARETE IMMERSIVA INTERATTIVA</w:t>
            </w:r>
          </w:p>
          <w:p w14:paraId="194E8C45" w14:textId="77777777" w:rsidR="00DB7C96" w:rsidRPr="00DB7C96" w:rsidRDefault="00DB7C96" w:rsidP="00DB7C96">
            <w:pPr>
              <w:jc w:val="center"/>
              <w:rPr>
                <w:b/>
                <w:sz w:val="24"/>
                <w:szCs w:val="24"/>
              </w:rPr>
            </w:pPr>
            <w:r w:rsidRPr="00DB7C96">
              <w:rPr>
                <w:b/>
                <w:sz w:val="24"/>
                <w:szCs w:val="24"/>
              </w:rPr>
              <w:t>SU PARETE MAGNETICA CANCELLABILE DI 450X225 cm</w:t>
            </w:r>
          </w:p>
          <w:p w14:paraId="7E427C4B" w14:textId="77777777" w:rsidR="00DB7C96" w:rsidRPr="00DB7C96" w:rsidRDefault="00DB7C96" w:rsidP="00DB7C96">
            <w:pPr>
              <w:jc w:val="center"/>
              <w:rPr>
                <w:b/>
                <w:sz w:val="24"/>
                <w:szCs w:val="24"/>
              </w:rPr>
            </w:pPr>
            <w:r w:rsidRPr="00DB7C96">
              <w:rPr>
                <w:b/>
                <w:sz w:val="24"/>
                <w:szCs w:val="24"/>
              </w:rPr>
              <w:t>Con videoproiettori laser led da 3600 Ansi Lumen</w:t>
            </w:r>
          </w:p>
          <w:p w14:paraId="6B8E86E2" w14:textId="7567FD51" w:rsidR="00DB7C96" w:rsidRDefault="00DB7C96" w:rsidP="00922AD0"/>
        </w:tc>
      </w:tr>
      <w:tr w:rsidR="00E93B02" w14:paraId="480AD820" w14:textId="77777777" w:rsidTr="00DB7C96">
        <w:tc>
          <w:tcPr>
            <w:tcW w:w="4211" w:type="dxa"/>
            <w:tcMar>
              <w:top w:w="113" w:type="dxa"/>
              <w:bottom w:w="113" w:type="dxa"/>
            </w:tcMar>
          </w:tcPr>
          <w:p w14:paraId="112594EC" w14:textId="313D3B1A" w:rsidR="00E93B02" w:rsidRDefault="00172152" w:rsidP="00D37712">
            <w:r>
              <w:t>AULA IMMERSIVA - LIERNA</w:t>
            </w:r>
          </w:p>
        </w:tc>
        <w:tc>
          <w:tcPr>
            <w:tcW w:w="3192" w:type="dxa"/>
            <w:gridSpan w:val="2"/>
            <w:tcMar>
              <w:top w:w="113" w:type="dxa"/>
              <w:bottom w:w="113" w:type="dxa"/>
            </w:tcMar>
          </w:tcPr>
          <w:p w14:paraId="69CECA58" w14:textId="77777777" w:rsidR="00E93B02" w:rsidRDefault="00E93B02" w:rsidP="00D37712">
            <w:r>
              <w:t>Quantità</w:t>
            </w:r>
          </w:p>
        </w:tc>
        <w:tc>
          <w:tcPr>
            <w:tcW w:w="2225" w:type="dxa"/>
            <w:tcMar>
              <w:top w:w="113" w:type="dxa"/>
              <w:bottom w:w="113" w:type="dxa"/>
            </w:tcMar>
          </w:tcPr>
          <w:p w14:paraId="3D357D0B" w14:textId="4E665983" w:rsidR="00E93B02" w:rsidRDefault="00922AD0" w:rsidP="00D37712">
            <w:r>
              <w:t>1</w:t>
            </w:r>
          </w:p>
        </w:tc>
      </w:tr>
      <w:tr w:rsidR="00E93B02" w14:paraId="4A9F1D47" w14:textId="77777777" w:rsidTr="00DB7C96">
        <w:tc>
          <w:tcPr>
            <w:tcW w:w="9628" w:type="dxa"/>
            <w:gridSpan w:val="4"/>
            <w:tcMar>
              <w:top w:w="113" w:type="dxa"/>
              <w:bottom w:w="113" w:type="dxa"/>
            </w:tcMar>
          </w:tcPr>
          <w:p w14:paraId="17360370" w14:textId="0E2E9A36" w:rsidR="00E93B02" w:rsidRPr="00FC2546" w:rsidRDefault="00172152" w:rsidP="00D37712">
            <w:pPr>
              <w:rPr>
                <w:sz w:val="24"/>
                <w:szCs w:val="24"/>
              </w:rPr>
            </w:pPr>
            <w:r w:rsidRPr="00FC2546">
              <w:rPr>
                <w:sz w:val="24"/>
                <w:szCs w:val="24"/>
              </w:rPr>
              <w:t xml:space="preserve">L’aula immersiva comprende </w:t>
            </w:r>
            <w:r w:rsidR="007809AD" w:rsidRPr="00FC2546">
              <w:rPr>
                <w:sz w:val="24"/>
                <w:szCs w:val="24"/>
              </w:rPr>
              <w:t xml:space="preserve">la </w:t>
            </w:r>
            <w:r w:rsidR="007809AD" w:rsidRPr="00FC2546">
              <w:rPr>
                <w:b/>
                <w:bCs/>
                <w:sz w:val="24"/>
                <w:szCs w:val="24"/>
              </w:rPr>
              <w:t>fornitura</w:t>
            </w:r>
            <w:r w:rsidR="007809AD" w:rsidRPr="00FC2546">
              <w:rPr>
                <w:sz w:val="24"/>
                <w:szCs w:val="24"/>
              </w:rPr>
              <w:t xml:space="preserve"> e </w:t>
            </w:r>
            <w:r w:rsidR="007809AD" w:rsidRPr="00FC2546">
              <w:rPr>
                <w:b/>
                <w:bCs/>
                <w:sz w:val="24"/>
                <w:szCs w:val="24"/>
              </w:rPr>
              <w:t>l’installazione</w:t>
            </w:r>
            <w:r w:rsidR="007809AD" w:rsidRPr="00FC2546">
              <w:rPr>
                <w:sz w:val="24"/>
                <w:szCs w:val="24"/>
              </w:rPr>
              <w:t xml:space="preserve"> di: </w:t>
            </w:r>
          </w:p>
          <w:p w14:paraId="63122840" w14:textId="7129F732" w:rsidR="007809AD" w:rsidRDefault="007809AD" w:rsidP="00D37712"/>
        </w:tc>
      </w:tr>
      <w:tr w:rsidR="007809AD" w14:paraId="79B25E7A" w14:textId="77777777" w:rsidTr="00FC2546">
        <w:tc>
          <w:tcPr>
            <w:tcW w:w="5382" w:type="dxa"/>
            <w:gridSpan w:val="2"/>
          </w:tcPr>
          <w:p w14:paraId="34059F55" w14:textId="77777777" w:rsidR="00FC2546" w:rsidRDefault="00FC2546" w:rsidP="00FC2546">
            <w:pPr>
              <w:jc w:val="center"/>
              <w:rPr>
                <w:noProof/>
                <w:lang w:eastAsia="it-IT"/>
              </w:rPr>
            </w:pPr>
          </w:p>
          <w:p w14:paraId="498CB5E4" w14:textId="77777777" w:rsidR="007809AD" w:rsidRDefault="00053DC9" w:rsidP="00AD3368">
            <w:pPr>
              <w:jc w:val="center"/>
            </w:pPr>
            <w:r w:rsidRPr="00053DC9">
              <w:rPr>
                <w:noProof/>
                <w:lang w:eastAsia="it-IT"/>
              </w:rPr>
              <w:drawing>
                <wp:inline distT="0" distB="0" distL="0" distR="0" wp14:anchorId="04EC034F" wp14:editId="54297B80">
                  <wp:extent cx="1899634" cy="1008157"/>
                  <wp:effectExtent l="0" t="0" r="5715" b="1905"/>
                  <wp:docPr id="132390055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6030" cy="1011551"/>
                          </a:xfrm>
                          <a:prstGeom prst="rect">
                            <a:avLst/>
                          </a:prstGeom>
                          <a:noFill/>
                          <a:ln>
                            <a:noFill/>
                          </a:ln>
                        </pic:spPr>
                      </pic:pic>
                    </a:graphicData>
                  </a:graphic>
                </wp:inline>
              </w:drawing>
            </w:r>
          </w:p>
          <w:p w14:paraId="265858C8" w14:textId="77777777" w:rsidR="00FC2546" w:rsidRDefault="00FC2546" w:rsidP="00FC2546">
            <w:pPr>
              <w:jc w:val="center"/>
            </w:pPr>
          </w:p>
          <w:p w14:paraId="77BAD831" w14:textId="5673C0EE" w:rsidR="00FC2546" w:rsidRDefault="00DA5A83" w:rsidP="00AD3368">
            <w:pPr>
              <w:jc w:val="center"/>
            </w:pPr>
            <w:r>
              <w:rPr>
                <w:noProof/>
                <w:lang w:eastAsia="it-IT"/>
              </w:rPr>
              <w:drawing>
                <wp:inline distT="0" distB="0" distL="0" distR="0" wp14:anchorId="3D3B7220" wp14:editId="4E317AEC">
                  <wp:extent cx="2846231" cy="1341795"/>
                  <wp:effectExtent l="0" t="0" r="0" b="0"/>
                  <wp:docPr id="206231104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311046" name=""/>
                          <pic:cNvPicPr/>
                        </pic:nvPicPr>
                        <pic:blipFill rotWithShape="1">
                          <a:blip r:embed="rId9"/>
                          <a:srcRect l="3846" b="5172"/>
                          <a:stretch/>
                        </pic:blipFill>
                        <pic:spPr bwMode="auto">
                          <a:xfrm>
                            <a:off x="0" y="0"/>
                            <a:ext cx="2868029" cy="1352071"/>
                          </a:xfrm>
                          <a:prstGeom prst="rect">
                            <a:avLst/>
                          </a:prstGeom>
                          <a:ln>
                            <a:noFill/>
                          </a:ln>
                          <a:extLst>
                            <a:ext uri="{53640926-AAD7-44D8-BBD7-CCE9431645EC}">
                              <a14:shadowObscured xmlns:a14="http://schemas.microsoft.com/office/drawing/2010/main"/>
                            </a:ext>
                          </a:extLst>
                        </pic:spPr>
                      </pic:pic>
                    </a:graphicData>
                  </a:graphic>
                </wp:inline>
              </w:drawing>
            </w:r>
          </w:p>
        </w:tc>
        <w:tc>
          <w:tcPr>
            <w:tcW w:w="4246" w:type="dxa"/>
            <w:gridSpan w:val="2"/>
            <w:vAlign w:val="center"/>
          </w:tcPr>
          <w:p w14:paraId="05E05EC3" w14:textId="77777777" w:rsidR="00053DC9" w:rsidRDefault="00053DC9" w:rsidP="00053DC9">
            <w:r>
              <w:t>Parete interattiva formata da:</w:t>
            </w:r>
          </w:p>
          <w:p w14:paraId="29641244" w14:textId="77777777" w:rsidR="00FC2546" w:rsidRDefault="00053DC9" w:rsidP="00FC2546">
            <w:pPr>
              <w:pStyle w:val="Paragrafoelenco"/>
              <w:numPr>
                <w:ilvl w:val="0"/>
                <w:numId w:val="2"/>
              </w:numPr>
              <w:ind w:left="459" w:hanging="284"/>
            </w:pPr>
            <w:r>
              <w:t>n.2 videoproiettori interattivi ad ottica ultra corta</w:t>
            </w:r>
            <w:r w:rsidR="00FC2546">
              <w:t xml:space="preserve"> </w:t>
            </w:r>
            <w:r>
              <w:t>EPSON EB-735Fi con unità di tocco</w:t>
            </w:r>
            <w:r w:rsidR="00FC2546">
              <w:t xml:space="preserve"> </w:t>
            </w:r>
            <w:r>
              <w:t>Tecnologia laser (senza lampada) 3600 Ansi Lumen</w:t>
            </w:r>
          </w:p>
          <w:p w14:paraId="773CFC92" w14:textId="7F1D9177" w:rsidR="007809AD" w:rsidRDefault="00053DC9" w:rsidP="00FC2546">
            <w:pPr>
              <w:pStyle w:val="Paragrafoelenco"/>
              <w:numPr>
                <w:ilvl w:val="0"/>
                <w:numId w:val="2"/>
              </w:numPr>
              <w:ind w:left="459" w:hanging="284"/>
            </w:pPr>
            <w:r>
              <w:t>n. 2 staffe di fissaggio proiettori a parete</w:t>
            </w:r>
          </w:p>
        </w:tc>
      </w:tr>
      <w:tr w:rsidR="00053DC9" w14:paraId="73B51FC5" w14:textId="77777777" w:rsidTr="00DB7C96">
        <w:tc>
          <w:tcPr>
            <w:tcW w:w="5382" w:type="dxa"/>
            <w:gridSpan w:val="2"/>
            <w:vAlign w:val="center"/>
          </w:tcPr>
          <w:p w14:paraId="0FBF6AF5" w14:textId="77777777" w:rsidR="00FC2546" w:rsidRDefault="00FC2546" w:rsidP="00AD3368">
            <w:pPr>
              <w:rPr>
                <w:noProof/>
              </w:rPr>
            </w:pPr>
          </w:p>
          <w:p w14:paraId="59F0563F" w14:textId="77777777" w:rsidR="00053DC9" w:rsidRDefault="00053DC9" w:rsidP="00FC2546">
            <w:pPr>
              <w:jc w:val="center"/>
              <w:rPr>
                <w:noProof/>
              </w:rPr>
            </w:pPr>
            <w:r>
              <w:rPr>
                <w:noProof/>
                <w:lang w:eastAsia="it-IT"/>
              </w:rPr>
              <w:drawing>
                <wp:inline distT="0" distB="0" distL="0" distR="0" wp14:anchorId="73288225" wp14:editId="59602ECD">
                  <wp:extent cx="2609850" cy="1628775"/>
                  <wp:effectExtent l="0" t="0" r="0" b="9525"/>
                  <wp:docPr id="173119811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198116" name=""/>
                          <pic:cNvPicPr/>
                        </pic:nvPicPr>
                        <pic:blipFill rotWithShape="1">
                          <a:blip r:embed="rId10"/>
                          <a:srcRect t="4054" b="18919"/>
                          <a:stretch/>
                        </pic:blipFill>
                        <pic:spPr bwMode="auto">
                          <a:xfrm>
                            <a:off x="0" y="0"/>
                            <a:ext cx="2609850" cy="1628775"/>
                          </a:xfrm>
                          <a:prstGeom prst="rect">
                            <a:avLst/>
                          </a:prstGeom>
                          <a:ln>
                            <a:noFill/>
                          </a:ln>
                          <a:extLst>
                            <a:ext uri="{53640926-AAD7-44D8-BBD7-CCE9431645EC}">
                              <a14:shadowObscured xmlns:a14="http://schemas.microsoft.com/office/drawing/2010/main"/>
                            </a:ext>
                          </a:extLst>
                        </pic:spPr>
                      </pic:pic>
                    </a:graphicData>
                  </a:graphic>
                </wp:inline>
              </w:drawing>
            </w:r>
          </w:p>
          <w:p w14:paraId="425FAE5B" w14:textId="41A1B1A3" w:rsidR="00FC2546" w:rsidRPr="00053DC9" w:rsidRDefault="00FC2546" w:rsidP="00FC2546">
            <w:pPr>
              <w:jc w:val="center"/>
              <w:rPr>
                <w:noProof/>
              </w:rPr>
            </w:pPr>
          </w:p>
        </w:tc>
        <w:tc>
          <w:tcPr>
            <w:tcW w:w="4246" w:type="dxa"/>
            <w:gridSpan w:val="2"/>
            <w:vAlign w:val="center"/>
          </w:tcPr>
          <w:p w14:paraId="4A2C461B" w14:textId="77777777" w:rsidR="00FC2546" w:rsidRDefault="00FC2546" w:rsidP="00FC2546">
            <w:pPr>
              <w:pStyle w:val="Paragrafoelenco"/>
            </w:pPr>
          </w:p>
          <w:p w14:paraId="6BB0ABA1" w14:textId="0ED63141" w:rsidR="00053DC9" w:rsidRDefault="00E65047" w:rsidP="00FC2546">
            <w:pPr>
              <w:pStyle w:val="Paragrafoelenco"/>
              <w:numPr>
                <w:ilvl w:val="0"/>
                <w:numId w:val="3"/>
              </w:numPr>
              <w:ind w:left="459" w:hanging="284"/>
            </w:pPr>
            <w:r>
              <w:t>n. 1 parete per videoproiezioni realizzata su misura</w:t>
            </w:r>
            <w:r w:rsidR="00FC2546">
              <w:t xml:space="preserve"> </w:t>
            </w:r>
            <w:r>
              <w:t>per coprire tutta la larghezza della parete (444 cm)</w:t>
            </w:r>
            <w:r w:rsidR="00FC2546">
              <w:t xml:space="preserve"> </w:t>
            </w:r>
            <w:r>
              <w:t>realizzata con pannelli scrivibili con pennarelli cancellabili</w:t>
            </w:r>
            <w:r w:rsidR="00FC2546">
              <w:t xml:space="preserve"> </w:t>
            </w:r>
            <w:r>
              <w:t>ed adeguati alle videoproiezioni</w:t>
            </w:r>
            <w:r w:rsidR="00FC2546">
              <w:br/>
            </w:r>
            <w:r>
              <w:t>Dimensioni totali della parete 444x222 cm di altezza</w:t>
            </w:r>
          </w:p>
        </w:tc>
      </w:tr>
      <w:tr w:rsidR="00E65047" w14:paraId="257AA65A" w14:textId="77777777" w:rsidTr="00FC2546">
        <w:tc>
          <w:tcPr>
            <w:tcW w:w="5382" w:type="dxa"/>
            <w:gridSpan w:val="2"/>
          </w:tcPr>
          <w:p w14:paraId="3A5B080C" w14:textId="77777777" w:rsidR="00FC2546" w:rsidRDefault="00FC2546" w:rsidP="00FC2546">
            <w:pPr>
              <w:jc w:val="center"/>
              <w:rPr>
                <w:noProof/>
              </w:rPr>
            </w:pPr>
          </w:p>
          <w:p w14:paraId="515085EB" w14:textId="77777777" w:rsidR="00E65047" w:rsidRDefault="00DA5A83" w:rsidP="00FC2546">
            <w:pPr>
              <w:jc w:val="center"/>
              <w:rPr>
                <w:noProof/>
              </w:rPr>
            </w:pPr>
            <w:r w:rsidRPr="00DA5A83">
              <w:rPr>
                <w:noProof/>
                <w:lang w:eastAsia="it-IT"/>
              </w:rPr>
              <w:drawing>
                <wp:inline distT="0" distB="0" distL="0" distR="0" wp14:anchorId="0E999207" wp14:editId="0A8C1053">
                  <wp:extent cx="3119270" cy="2038350"/>
                  <wp:effectExtent l="0" t="0" r="5080" b="0"/>
                  <wp:docPr id="948760290"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5712" b="19174"/>
                          <a:stretch/>
                        </pic:blipFill>
                        <pic:spPr bwMode="auto">
                          <a:xfrm>
                            <a:off x="0" y="0"/>
                            <a:ext cx="3122539" cy="2040486"/>
                          </a:xfrm>
                          <a:prstGeom prst="rect">
                            <a:avLst/>
                          </a:prstGeom>
                          <a:noFill/>
                          <a:ln>
                            <a:noFill/>
                          </a:ln>
                          <a:extLst>
                            <a:ext uri="{53640926-AAD7-44D8-BBD7-CCE9431645EC}">
                              <a14:shadowObscured xmlns:a14="http://schemas.microsoft.com/office/drawing/2010/main"/>
                            </a:ext>
                          </a:extLst>
                        </pic:spPr>
                      </pic:pic>
                    </a:graphicData>
                  </a:graphic>
                </wp:inline>
              </w:drawing>
            </w:r>
          </w:p>
          <w:p w14:paraId="0C62ABBA" w14:textId="2DC267CF" w:rsidR="00FC2546" w:rsidRDefault="00FC2546" w:rsidP="00FC2546">
            <w:pPr>
              <w:jc w:val="center"/>
              <w:rPr>
                <w:noProof/>
              </w:rPr>
            </w:pPr>
          </w:p>
        </w:tc>
        <w:tc>
          <w:tcPr>
            <w:tcW w:w="4246" w:type="dxa"/>
            <w:gridSpan w:val="2"/>
            <w:vAlign w:val="center"/>
          </w:tcPr>
          <w:p w14:paraId="2FC348AE" w14:textId="77777777" w:rsidR="00FC2546" w:rsidRDefault="00FC2546" w:rsidP="00FC2546">
            <w:pPr>
              <w:pStyle w:val="Paragrafoelenco"/>
              <w:numPr>
                <w:ilvl w:val="0"/>
                <w:numId w:val="3"/>
              </w:numPr>
              <w:ind w:left="459" w:hanging="284"/>
            </w:pPr>
            <w:r>
              <w:t>Montaggio parete e proiettori,</w:t>
            </w:r>
          </w:p>
          <w:p w14:paraId="4062B305" w14:textId="1F9E00DA" w:rsidR="00E65047" w:rsidRDefault="00C209CD" w:rsidP="00FC2546">
            <w:pPr>
              <w:pStyle w:val="Paragrafoelenco"/>
              <w:numPr>
                <w:ilvl w:val="0"/>
                <w:numId w:val="3"/>
              </w:numPr>
              <w:ind w:left="459" w:hanging="284"/>
            </w:pPr>
            <w:bookmarkStart w:id="1" w:name="_GoBack"/>
            <w:bookmarkEnd w:id="1"/>
            <w:r>
              <w:t>Realizzazione</w:t>
            </w:r>
            <w:r w:rsidR="00E65047">
              <w:t xml:space="preserve"> impianto</w:t>
            </w:r>
            <w:r w:rsidR="00FC2546">
              <w:t xml:space="preserve"> </w:t>
            </w:r>
            <w:r w:rsidR="00E65047">
              <w:t>elettrico e video HDMI per i proiettori della parete</w:t>
            </w:r>
            <w:r w:rsidR="00FC2546">
              <w:t xml:space="preserve"> </w:t>
            </w:r>
            <w:r w:rsidR="00E65047">
              <w:t>immersiva interattiva</w:t>
            </w:r>
          </w:p>
        </w:tc>
      </w:tr>
      <w:tr w:rsidR="00FC2546" w14:paraId="74063C1B" w14:textId="77777777" w:rsidTr="00DB7C96">
        <w:tc>
          <w:tcPr>
            <w:tcW w:w="9628" w:type="dxa"/>
            <w:gridSpan w:val="4"/>
            <w:tcMar>
              <w:top w:w="113" w:type="dxa"/>
              <w:bottom w:w="113" w:type="dxa"/>
            </w:tcMar>
          </w:tcPr>
          <w:p w14:paraId="63A9614A" w14:textId="6B001469" w:rsidR="00FC2546" w:rsidRDefault="00FC2546" w:rsidP="00E65047">
            <w:pPr>
              <w:pStyle w:val="Paragrafoelenco"/>
              <w:numPr>
                <w:ilvl w:val="0"/>
                <w:numId w:val="3"/>
              </w:numPr>
            </w:pPr>
            <w:r>
              <w:lastRenderedPageBreak/>
              <w:t>Coppia di casse acustiche amplificate da 120Watt PMPO– con staffe di fissaggio a parete – collegamento elettrico e audio ai proiettori di sala</w:t>
            </w:r>
          </w:p>
        </w:tc>
      </w:tr>
      <w:tr w:rsidR="00FC2546" w:rsidRPr="004566A0" w14:paraId="7469E85F" w14:textId="77777777" w:rsidTr="00DB7C96">
        <w:tc>
          <w:tcPr>
            <w:tcW w:w="9628" w:type="dxa"/>
            <w:gridSpan w:val="4"/>
            <w:tcMar>
              <w:top w:w="113" w:type="dxa"/>
              <w:bottom w:w="113" w:type="dxa"/>
            </w:tcMar>
          </w:tcPr>
          <w:p w14:paraId="753E5C5A" w14:textId="0A96AE40" w:rsidR="00FC2546" w:rsidRPr="00FC2546" w:rsidRDefault="00FC2546" w:rsidP="00DB7C96">
            <w:pPr>
              <w:pStyle w:val="Paragrafoelenco"/>
              <w:numPr>
                <w:ilvl w:val="0"/>
                <w:numId w:val="3"/>
              </w:numPr>
            </w:pPr>
            <w:r>
              <w:t xml:space="preserve">Pc di gestione parete interattiva – Pc minitower Intel i5 </w:t>
            </w:r>
            <w:r w:rsidRPr="00DB7C96">
              <w:rPr>
                <w:lang w:val="en-US"/>
              </w:rPr>
              <w:t xml:space="preserve">11° gen – Ram 8 Gb ddr4 – SSD 512 Gb – </w:t>
            </w:r>
            <w:proofErr w:type="spellStart"/>
            <w:r w:rsidRPr="00DB7C96">
              <w:rPr>
                <w:lang w:val="en-US"/>
              </w:rPr>
              <w:t>scheda</w:t>
            </w:r>
            <w:proofErr w:type="spellEnd"/>
            <w:r w:rsidRPr="00DB7C96">
              <w:rPr>
                <w:lang w:val="en-US"/>
              </w:rPr>
              <w:t xml:space="preserve"> video</w:t>
            </w:r>
            <w:r>
              <w:t xml:space="preserve"> </w:t>
            </w:r>
            <w:proofErr w:type="spellStart"/>
            <w:r w:rsidRPr="00DB7C96">
              <w:rPr>
                <w:lang w:val="en-US"/>
              </w:rPr>
              <w:t>dedicata</w:t>
            </w:r>
            <w:proofErr w:type="spellEnd"/>
            <w:r w:rsidRPr="00DB7C96">
              <w:rPr>
                <w:lang w:val="en-US"/>
              </w:rPr>
              <w:t xml:space="preserve"> dual head 4 Gb - LAN 1Gbps – mouse e tastiera– Windows 11 PRO</w:t>
            </w:r>
          </w:p>
        </w:tc>
      </w:tr>
      <w:tr w:rsidR="00DB7C96" w:rsidRPr="00B12720" w14:paraId="3F49A7F6" w14:textId="77777777" w:rsidTr="00DB7C96">
        <w:tc>
          <w:tcPr>
            <w:tcW w:w="9628" w:type="dxa"/>
            <w:gridSpan w:val="4"/>
            <w:tcMar>
              <w:top w:w="113" w:type="dxa"/>
              <w:bottom w:w="113" w:type="dxa"/>
            </w:tcMar>
          </w:tcPr>
          <w:p w14:paraId="3FF732D4" w14:textId="02E4452D" w:rsidR="00DB7C96" w:rsidRDefault="00DB7C96" w:rsidP="00B12720">
            <w:r>
              <w:t xml:space="preserve">Libreria contenuti anche 3D/VR </w:t>
            </w:r>
            <w:proofErr w:type="spellStart"/>
            <w:r>
              <w:t>Mozaik</w:t>
            </w:r>
            <w:proofErr w:type="spellEnd"/>
            <w:r>
              <w:t xml:space="preserve"> </w:t>
            </w:r>
            <w:proofErr w:type="spellStart"/>
            <w:r>
              <w:t>mozaBook</w:t>
            </w:r>
            <w:proofErr w:type="spellEnd"/>
            <w:r>
              <w:t xml:space="preserve"> CLASSROOM - 3 ANNI ITA</w:t>
            </w:r>
          </w:p>
          <w:p w14:paraId="21E11C0B" w14:textId="0308D2CE" w:rsidR="00DB7C96" w:rsidRDefault="00DB7C96" w:rsidP="00B12720">
            <w:r>
              <w:t>Contenuti interattivi (animazioni 3D, video educativi) per tutte le materie e tutte le età.</w:t>
            </w:r>
            <w:r>
              <w:br/>
              <w:t xml:space="preserve"> Creazione libri digitali personalizzati da PDF</w:t>
            </w:r>
          </w:p>
          <w:p w14:paraId="1A9ACA25" w14:textId="17D93667" w:rsidR="00DB7C96" w:rsidRDefault="00DB7C96" w:rsidP="00B12720">
            <w:r>
              <w:t xml:space="preserve">Lezioni e contenuti già disponibili: Biologia, Fisica, Geografia, Chimica, Storia, Tecnologia, Matematica, </w:t>
            </w:r>
            <w:proofErr w:type="spellStart"/>
            <w:r>
              <w:t>Artivisive</w:t>
            </w:r>
            <w:proofErr w:type="spellEnd"/>
            <w:r>
              <w:t>, Letteratura</w:t>
            </w:r>
          </w:p>
        </w:tc>
      </w:tr>
    </w:tbl>
    <w:p w14:paraId="04E0F94B" w14:textId="63807231" w:rsidR="00C5015F" w:rsidRPr="00370579" w:rsidRDefault="00C5015F" w:rsidP="00C5015F">
      <w:pPr>
        <w:spacing w:before="120" w:after="120"/>
        <w:rPr>
          <w:rFonts w:ascii="Times New Roman" w:hAnsi="Times New Roman" w:cs="Times New Roman"/>
          <w:sz w:val="24"/>
          <w:szCs w:val="24"/>
        </w:rPr>
      </w:pPr>
      <w:r w:rsidRPr="00C5015F">
        <w:rPr>
          <w:rFonts w:cstheme="minorHAnsi"/>
        </w:rPr>
        <w:t>La fornitura e i beni dovranno rispettare i criteri già indicati nel disciplinare</w:t>
      </w:r>
      <w:r w:rsidRPr="00370579">
        <w:rPr>
          <w:rFonts w:ascii="Times New Roman" w:hAnsi="Times New Roman" w:cs="Times New Roman"/>
          <w:sz w:val="24"/>
          <w:szCs w:val="24"/>
        </w:rPr>
        <w:t>.</w:t>
      </w:r>
    </w:p>
    <w:p w14:paraId="45C86C3E" w14:textId="77777777" w:rsidR="00C5015F" w:rsidRPr="00EC6A0D" w:rsidRDefault="00C5015F" w:rsidP="00C5015F">
      <w:pPr>
        <w:pStyle w:val="Paragrafoelenco"/>
        <w:numPr>
          <w:ilvl w:val="0"/>
          <w:numId w:val="5"/>
        </w:numPr>
        <w:ind w:left="851" w:hanging="567"/>
        <w:rPr>
          <w:sz w:val="24"/>
          <w:szCs w:val="24"/>
        </w:rPr>
      </w:pPr>
      <w:r w:rsidRPr="00EC6A0D">
        <w:rPr>
          <w:b/>
          <w:sz w:val="24"/>
          <w:szCs w:val="24"/>
        </w:rPr>
        <w:t>Disposizioni finali</w:t>
      </w:r>
      <w:r w:rsidRPr="00EC6A0D">
        <w:rPr>
          <w:sz w:val="24"/>
          <w:szCs w:val="24"/>
        </w:rPr>
        <w:t>:</w:t>
      </w:r>
    </w:p>
    <w:p w14:paraId="34ED50A1" w14:textId="77777777" w:rsidR="00C5015F" w:rsidRPr="00AF0CCC" w:rsidRDefault="00C5015F" w:rsidP="00AD3368">
      <w:pPr>
        <w:numPr>
          <w:ilvl w:val="0"/>
          <w:numId w:val="1"/>
        </w:numPr>
        <w:ind w:left="1418" w:hanging="567"/>
        <w:jc w:val="both"/>
        <w:rPr>
          <w:rFonts w:cstheme="minorHAnsi"/>
        </w:rPr>
      </w:pPr>
      <w:r w:rsidRPr="00AF0CCC">
        <w:rPr>
          <w:rFonts w:cstheme="minorHAnsi"/>
        </w:rPr>
        <w:t>Tutte le apparecchiature devono essere obbligatoriamente in regola con la normativa riguardante la sicurezza nei luoghi di lavoro (L.81/08) e con le norme sulla sicurezza e affidabilità degli impianti (L.37/08);</w:t>
      </w:r>
    </w:p>
    <w:p w14:paraId="0F3AFC9E" w14:textId="77777777" w:rsidR="00C5015F" w:rsidRDefault="00C5015F" w:rsidP="00AD3368">
      <w:pPr>
        <w:numPr>
          <w:ilvl w:val="0"/>
          <w:numId w:val="1"/>
        </w:numPr>
        <w:ind w:left="1418" w:hanging="567"/>
        <w:jc w:val="both"/>
        <w:rPr>
          <w:rFonts w:cstheme="minorHAnsi"/>
        </w:rPr>
      </w:pPr>
      <w:r w:rsidRPr="00AF0CCC">
        <w:rPr>
          <w:rFonts w:cstheme="minorHAnsi"/>
        </w:rPr>
        <w:t xml:space="preserve">Tutte le apparecchiature elettriche ed elettroniche, ai sensi della circolare MEF-RGS n. 32 del 30 dicembre 2021, dovranno rispettare il principio di non arrecare danno significativo agli obiettivi ambientali ai sensi dell’articolo 17 del regolamento (UE)2020/852 (DNSH). Le apparecchiature saranno ritenute conformi se in possesso di un pertinente </w:t>
      </w:r>
      <w:r w:rsidRPr="00AF0CCC">
        <w:rPr>
          <w:rFonts w:cstheme="minorHAnsi"/>
          <w:b/>
          <w:bCs/>
        </w:rPr>
        <w:t>marchio ecologico di tipo I</w:t>
      </w:r>
      <w:r w:rsidRPr="00AF0CCC">
        <w:rPr>
          <w:rFonts w:cstheme="minorHAnsi"/>
        </w:rPr>
        <w:t xml:space="preserve"> e di una </w:t>
      </w:r>
      <w:r w:rsidRPr="00AF0CCC">
        <w:rPr>
          <w:rFonts w:cstheme="minorHAnsi"/>
          <w:b/>
          <w:bCs/>
        </w:rPr>
        <w:t>etichetta energetica valida</w:t>
      </w:r>
      <w:r w:rsidRPr="00AF0CCC">
        <w:rPr>
          <w:rFonts w:cstheme="minorHAnsi"/>
        </w:rPr>
        <w:t xml:space="preserve"> rilasciata ai sensi del regolamento (UE) 2017/1369, mentre l’offerente dovrà fornire l’iscrizione alla piattaforma RAEE, in qualità di produttore e/o distributore.</w:t>
      </w:r>
    </w:p>
    <w:p w14:paraId="64FA01DA" w14:textId="77777777" w:rsidR="00C5015F" w:rsidRPr="00C5015F" w:rsidRDefault="00C5015F" w:rsidP="00AD3368">
      <w:pPr>
        <w:numPr>
          <w:ilvl w:val="0"/>
          <w:numId w:val="1"/>
        </w:numPr>
        <w:ind w:left="1418" w:hanging="567"/>
        <w:jc w:val="both"/>
        <w:rPr>
          <w:rFonts w:cstheme="minorHAnsi"/>
        </w:rPr>
      </w:pPr>
      <w:r w:rsidRPr="00C5015F">
        <w:rPr>
          <w:rFonts w:cstheme="minorHAnsi"/>
        </w:rPr>
        <w:t>Per ogni prodotto dovrà essere consegnato il fascicolo tecnico</w:t>
      </w:r>
    </w:p>
    <w:p w14:paraId="6625FAD5" w14:textId="77777777" w:rsidR="00C5015F" w:rsidRPr="00AF0CCC" w:rsidRDefault="00C5015F" w:rsidP="00AD3368">
      <w:pPr>
        <w:numPr>
          <w:ilvl w:val="0"/>
          <w:numId w:val="1"/>
        </w:numPr>
        <w:ind w:left="1418" w:hanging="567"/>
        <w:jc w:val="both"/>
        <w:rPr>
          <w:rFonts w:cstheme="minorHAnsi"/>
        </w:rPr>
      </w:pPr>
      <w:r w:rsidRPr="00AF0CCC">
        <w:rPr>
          <w:rFonts w:cstheme="minorHAnsi"/>
        </w:rPr>
        <w:t>Ove fossero ricompresi, tutti i materiali forniti dovranno rispettare la relativa normativa CAM</w:t>
      </w:r>
    </w:p>
    <w:p w14:paraId="5A14BA22" w14:textId="77777777" w:rsidR="00C5015F" w:rsidRPr="00AF0CCC" w:rsidRDefault="00C5015F" w:rsidP="00AD3368">
      <w:pPr>
        <w:numPr>
          <w:ilvl w:val="0"/>
          <w:numId w:val="1"/>
        </w:numPr>
        <w:ind w:left="1418" w:hanging="567"/>
        <w:jc w:val="both"/>
        <w:rPr>
          <w:rFonts w:cstheme="minorHAnsi"/>
        </w:rPr>
      </w:pPr>
      <w:r w:rsidRPr="00AF0CCC">
        <w:rPr>
          <w:rFonts w:cstheme="minorHAnsi"/>
        </w:rPr>
        <w:t>La garanzia sui prodotti dovrà essere di almeno 24 (ventiquattro) mesi, dalla data di accettazione della fornitura, così come previsto in premessa e ai paragrafi 10/11 del disciplinare</w:t>
      </w:r>
    </w:p>
    <w:p w14:paraId="525E98A9" w14:textId="2DDB579A" w:rsidR="003D77E1" w:rsidRPr="00C5015F" w:rsidRDefault="00C5015F" w:rsidP="003D77E1">
      <w:pPr>
        <w:rPr>
          <w:rFonts w:cstheme="minorHAnsi"/>
        </w:rPr>
      </w:pPr>
      <w:r w:rsidRPr="00C5015F">
        <w:rPr>
          <w:rFonts w:cstheme="minorHAnsi"/>
        </w:rPr>
        <w:t>Per tutti i prodotti, la documentazione e la manualistica dovranno essere forniti in lingua italiana.</w:t>
      </w:r>
    </w:p>
    <w:p w14:paraId="23DF3041" w14:textId="77777777" w:rsidR="003D77E1" w:rsidRPr="003D77E1" w:rsidRDefault="003D77E1" w:rsidP="003D77E1">
      <w:pPr>
        <w:rPr>
          <w:rFonts w:ascii="Times New Roman" w:hAnsi="Times New Roman" w:cs="Times New Roman"/>
          <w:sz w:val="24"/>
          <w:szCs w:val="24"/>
        </w:rPr>
      </w:pPr>
    </w:p>
    <w:p w14:paraId="09F47226" w14:textId="77777777" w:rsidR="003D77E1" w:rsidRPr="003D77E1" w:rsidRDefault="003D77E1" w:rsidP="003D77E1">
      <w:pPr>
        <w:rPr>
          <w:rFonts w:ascii="Times New Roman" w:hAnsi="Times New Roman" w:cs="Times New Roman"/>
          <w:sz w:val="24"/>
          <w:szCs w:val="24"/>
        </w:rPr>
      </w:pPr>
    </w:p>
    <w:p w14:paraId="01CBE0BE" w14:textId="77777777" w:rsidR="003D77E1" w:rsidRPr="00BC521A" w:rsidRDefault="003D77E1" w:rsidP="003D77E1">
      <w:pPr>
        <w:rPr>
          <w:rFonts w:cstheme="minorHAnsi"/>
          <w:sz w:val="24"/>
          <w:szCs w:val="24"/>
        </w:rPr>
      </w:pPr>
      <w:r w:rsidRPr="00BC521A">
        <w:rPr>
          <w:rFonts w:cstheme="minorHAnsi"/>
          <w:sz w:val="24"/>
          <w:szCs w:val="24"/>
        </w:rPr>
        <w:t>Il referente del progetto</w:t>
      </w:r>
    </w:p>
    <w:p w14:paraId="057990B3" w14:textId="4CCE35E9" w:rsidR="003D77E1" w:rsidRPr="00BC521A" w:rsidRDefault="00BC521A" w:rsidP="003D77E1">
      <w:pPr>
        <w:rPr>
          <w:rFonts w:cstheme="minorHAnsi"/>
          <w:sz w:val="24"/>
          <w:szCs w:val="24"/>
        </w:rPr>
      </w:pPr>
      <w:r w:rsidRPr="00BC521A">
        <w:rPr>
          <w:rFonts w:cstheme="minorHAnsi"/>
          <w:sz w:val="24"/>
          <w:szCs w:val="24"/>
        </w:rPr>
        <w:t>Emanuela Pirovano</w:t>
      </w:r>
    </w:p>
    <w:p w14:paraId="14D59619" w14:textId="77777777" w:rsidR="00E93B02" w:rsidRPr="003D77E1" w:rsidRDefault="00E93B02"/>
    <w:sectPr w:rsidR="00E93B02" w:rsidRPr="003D77E1" w:rsidSect="00AD3368">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English111 Adagio B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FE6218"/>
    <w:multiLevelType w:val="hybridMultilevel"/>
    <w:tmpl w:val="13CAA2F6"/>
    <w:lvl w:ilvl="0" w:tplc="04100003">
      <w:start w:val="1"/>
      <w:numFmt w:val="bullet"/>
      <w:lvlText w:val="o"/>
      <w:lvlJc w:val="left"/>
      <w:pPr>
        <w:ind w:left="720" w:hanging="360"/>
      </w:pPr>
      <w:rPr>
        <w:rFonts w:ascii="Courier New" w:hAnsi="Courier New"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B02444"/>
    <w:multiLevelType w:val="hybridMultilevel"/>
    <w:tmpl w:val="ACC8ED64"/>
    <w:lvl w:ilvl="0" w:tplc="B470AE78">
      <w:start w:val="1"/>
      <w:numFmt w:val="lowerLetter"/>
      <w:lvlText w:val="%1)"/>
      <w:lvlJc w:val="left"/>
      <w:pPr>
        <w:ind w:left="1080" w:hanging="360"/>
      </w:pPr>
      <w:rPr>
        <w:rFonts w:ascii="Times New Roman" w:eastAsia="Times New Roman" w:hAnsi="Times New Roman" w:cs="Times New Roman"/>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9DB6194"/>
    <w:multiLevelType w:val="hybridMultilevel"/>
    <w:tmpl w:val="60365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5D05122"/>
    <w:multiLevelType w:val="hybridMultilevel"/>
    <w:tmpl w:val="BF50D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0A6176E"/>
    <w:multiLevelType w:val="hybridMultilevel"/>
    <w:tmpl w:val="FDF41026"/>
    <w:lvl w:ilvl="0" w:tplc="0410000F">
      <w:start w:val="1"/>
      <w:numFmt w:val="decimal"/>
      <w:lvlText w:val="%1."/>
      <w:lvlJc w:val="left"/>
      <w:pPr>
        <w:ind w:left="1440" w:hanging="360"/>
      </w:pPr>
      <w:rPr>
        <w:rFonts w:hint="default"/>
        <w:sz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C51"/>
    <w:rsid w:val="00012E83"/>
    <w:rsid w:val="00053DC9"/>
    <w:rsid w:val="00086CFE"/>
    <w:rsid w:val="00165673"/>
    <w:rsid w:val="00172152"/>
    <w:rsid w:val="003D77E1"/>
    <w:rsid w:val="004566A0"/>
    <w:rsid w:val="00534EF7"/>
    <w:rsid w:val="007809AD"/>
    <w:rsid w:val="00922AD0"/>
    <w:rsid w:val="00AD3368"/>
    <w:rsid w:val="00B12720"/>
    <w:rsid w:val="00BC521A"/>
    <w:rsid w:val="00C209CD"/>
    <w:rsid w:val="00C5015F"/>
    <w:rsid w:val="00DA5A83"/>
    <w:rsid w:val="00DB7C96"/>
    <w:rsid w:val="00DC1A3F"/>
    <w:rsid w:val="00E65047"/>
    <w:rsid w:val="00E93B02"/>
    <w:rsid w:val="00FC2546"/>
    <w:rsid w:val="00FC5C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3DBA5"/>
  <w15:chartTrackingRefBased/>
  <w15:docId w15:val="{3E21C66E-088D-486F-BD37-C0C7669A3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93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6CFE"/>
    <w:pPr>
      <w:autoSpaceDE w:val="0"/>
      <w:autoSpaceDN w:val="0"/>
      <w:adjustRightInd w:val="0"/>
      <w:spacing w:after="0" w:line="240" w:lineRule="auto"/>
    </w:pPr>
    <w:rPr>
      <w:rFonts w:ascii="Corbel" w:eastAsia="Times New Roman" w:hAnsi="Corbel" w:cs="Corbel"/>
      <w:color w:val="000000"/>
      <w:kern w:val="0"/>
      <w:sz w:val="24"/>
      <w:szCs w:val="24"/>
      <w:lang w:eastAsia="it-IT"/>
      <w14:ligatures w14:val="none"/>
    </w:rPr>
  </w:style>
  <w:style w:type="paragraph" w:styleId="Paragrafoelenco">
    <w:name w:val="List Paragraph"/>
    <w:basedOn w:val="Normale"/>
    <w:uiPriority w:val="34"/>
    <w:qFormat/>
    <w:rsid w:val="00FC25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emf"/><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225FC-9F2D-42FA-A559-F470FC2C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831</Words>
  <Characters>4737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pirovano</dc:creator>
  <cp:keywords/>
  <dc:description/>
  <cp:lastModifiedBy>Adele Esposito</cp:lastModifiedBy>
  <cp:revision>5</cp:revision>
  <cp:lastPrinted>2023-09-15T08:34:00Z</cp:lastPrinted>
  <dcterms:created xsi:type="dcterms:W3CDTF">2023-09-14T15:54:00Z</dcterms:created>
  <dcterms:modified xsi:type="dcterms:W3CDTF">2023-09-15T08:34:00Z</dcterms:modified>
</cp:coreProperties>
</file>